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3798"/>
        <w:gridCol w:w="5562"/>
      </w:tblGrid>
      <w:tr w:rsidR="008E17AD" w:rsidRPr="00EB33A8" w:rsidTr="00EB33A8">
        <w:trPr>
          <w:tblHeader/>
        </w:trPr>
        <w:tc>
          <w:tcPr>
            <w:tcW w:w="9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17AD" w:rsidRPr="00EB33A8" w:rsidRDefault="008E17AD" w:rsidP="00EB33A8">
            <w:pPr>
              <w:spacing w:after="240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EB33A8">
              <w:rPr>
                <w:rFonts w:ascii="Calibri" w:hAnsi="Calibri"/>
                <w:b/>
                <w:sz w:val="28"/>
                <w:szCs w:val="28"/>
              </w:rPr>
              <w:t>Key Elements Table</w:t>
            </w:r>
          </w:p>
        </w:tc>
      </w:tr>
      <w:tr w:rsidR="00C52330" w:rsidTr="003018ED">
        <w:trPr>
          <w:tblHeader/>
        </w:trPr>
        <w:tc>
          <w:tcPr>
            <w:tcW w:w="3798" w:type="dxa"/>
            <w:tcBorders>
              <w:bottom w:val="single" w:sz="4" w:space="0" w:color="auto"/>
            </w:tcBorders>
            <w:shd w:val="clear" w:color="auto" w:fill="CCFFFF"/>
          </w:tcPr>
          <w:p w:rsidR="00C52330" w:rsidRPr="00C52330" w:rsidRDefault="00C52330">
            <w:pPr>
              <w:rPr>
                <w:rFonts w:ascii="Calibri" w:hAnsi="Calibri"/>
                <w:b/>
              </w:rPr>
            </w:pPr>
            <w:r w:rsidRPr="00C52330">
              <w:rPr>
                <w:rFonts w:ascii="Calibri" w:hAnsi="Calibri"/>
                <w:b/>
              </w:rPr>
              <w:t>Purpose</w:t>
            </w:r>
          </w:p>
        </w:tc>
        <w:tc>
          <w:tcPr>
            <w:tcW w:w="5562" w:type="dxa"/>
            <w:tcBorders>
              <w:bottom w:val="single" w:sz="4" w:space="0" w:color="auto"/>
            </w:tcBorders>
            <w:shd w:val="clear" w:color="auto" w:fill="CCFFFF"/>
          </w:tcPr>
          <w:p w:rsidR="00C52330" w:rsidRPr="00C52330" w:rsidRDefault="00C52330">
            <w:pPr>
              <w:rPr>
                <w:rFonts w:ascii="Calibri" w:hAnsi="Calibri"/>
                <w:b/>
              </w:rPr>
            </w:pPr>
            <w:r w:rsidRPr="00C52330">
              <w:rPr>
                <w:rFonts w:ascii="Calibri" w:hAnsi="Calibri"/>
                <w:b/>
              </w:rPr>
              <w:t>Specific Subjects for Consideration</w:t>
            </w:r>
          </w:p>
        </w:tc>
      </w:tr>
      <w:tr w:rsidR="00C52330" w:rsidTr="00C52330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C52330" w:rsidRPr="008E17AD" w:rsidRDefault="00C52330" w:rsidP="00285E82">
            <w:pPr>
              <w:jc w:val="center"/>
              <w:rPr>
                <w:i/>
                <w:szCs w:val="24"/>
              </w:rPr>
            </w:pPr>
            <w:r w:rsidRPr="008E17AD"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 xml:space="preserve">Purpose of the </w:t>
            </w:r>
            <w:r w:rsidR="00285E82"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R</w:t>
            </w:r>
            <w:r w:rsidRPr="008E17AD"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 xml:space="preserve">esearcher </w:t>
            </w:r>
            <w:r w:rsidR="00285E82"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V</w:t>
            </w:r>
            <w:r w:rsidRPr="008E17AD"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isit</w:t>
            </w:r>
          </w:p>
        </w:tc>
      </w:tr>
      <w:tr w:rsidR="00042D6D" w:rsidTr="00042D6D">
        <w:tc>
          <w:tcPr>
            <w:tcW w:w="3798" w:type="dxa"/>
            <w:vMerge w:val="restart"/>
            <w:vAlign w:val="center"/>
          </w:tcPr>
          <w:p w:rsidR="00042D6D" w:rsidRDefault="00042D6D" w:rsidP="00042D6D">
            <w:r w:rsidRPr="00C52330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Value proposition, what is the benefit for research exchange to the parent entity?</w:t>
            </w:r>
          </w:p>
        </w:tc>
        <w:tc>
          <w:tcPr>
            <w:tcW w:w="5562" w:type="dxa"/>
          </w:tcPr>
          <w:p w:rsidR="00042D6D" w:rsidRDefault="00042D6D">
            <w:r w:rsidRPr="00C52330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Expectations - what are the interests of the sending and receiving institutions</w:t>
            </w:r>
          </w:p>
        </w:tc>
      </w:tr>
      <w:tr w:rsidR="00042D6D" w:rsidTr="00042D6D">
        <w:tc>
          <w:tcPr>
            <w:tcW w:w="3798" w:type="dxa"/>
            <w:vMerge/>
          </w:tcPr>
          <w:p w:rsidR="00042D6D" w:rsidRDefault="00042D6D"/>
        </w:tc>
        <w:tc>
          <w:tcPr>
            <w:tcW w:w="5562" w:type="dxa"/>
          </w:tcPr>
          <w:p w:rsidR="00042D6D" w:rsidRDefault="00042D6D">
            <w:r w:rsidRPr="00C52330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Deliverables</w:t>
            </w:r>
          </w:p>
        </w:tc>
      </w:tr>
      <w:tr w:rsidR="00042D6D" w:rsidTr="00042D6D">
        <w:tc>
          <w:tcPr>
            <w:tcW w:w="3798" w:type="dxa"/>
            <w:vMerge/>
          </w:tcPr>
          <w:p w:rsidR="00042D6D" w:rsidRDefault="00042D6D"/>
        </w:tc>
        <w:tc>
          <w:tcPr>
            <w:tcW w:w="5562" w:type="dxa"/>
          </w:tcPr>
          <w:p w:rsidR="00042D6D" w:rsidRDefault="00042D6D">
            <w:r w:rsidRPr="00C52330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Who does the researcher work for?</w:t>
            </w:r>
          </w:p>
        </w:tc>
      </w:tr>
      <w:tr w:rsidR="00042D6D" w:rsidTr="00042D6D">
        <w:tc>
          <w:tcPr>
            <w:tcW w:w="3798" w:type="dxa"/>
            <w:vMerge/>
          </w:tcPr>
          <w:p w:rsidR="00042D6D" w:rsidRDefault="00042D6D"/>
        </w:tc>
        <w:tc>
          <w:tcPr>
            <w:tcW w:w="5562" w:type="dxa"/>
          </w:tcPr>
          <w:p w:rsidR="00042D6D" w:rsidRDefault="00042D6D">
            <w:r w:rsidRPr="00C52330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Sponsorship / mentorship (identifying the sponsor within the institution, sponsor succession planning [if sponsor leaves their duty])</w:t>
            </w:r>
          </w:p>
        </w:tc>
      </w:tr>
      <w:tr w:rsidR="00042D6D" w:rsidTr="00042D6D">
        <w:tc>
          <w:tcPr>
            <w:tcW w:w="3798" w:type="dxa"/>
            <w:vMerge/>
            <w:tcBorders>
              <w:bottom w:val="single" w:sz="4" w:space="0" w:color="auto"/>
            </w:tcBorders>
          </w:tcPr>
          <w:p w:rsidR="00042D6D" w:rsidRDefault="00042D6D"/>
        </w:tc>
        <w:tc>
          <w:tcPr>
            <w:tcW w:w="5562" w:type="dxa"/>
            <w:tcBorders>
              <w:bottom w:val="single" w:sz="4" w:space="0" w:color="auto"/>
            </w:tcBorders>
          </w:tcPr>
          <w:p w:rsidR="00042D6D" w:rsidRDefault="00042D6D">
            <w:r w:rsidRPr="00C52330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One-time or umbrella agreements (continuing the relationship beyond the one researcher visit)</w:t>
            </w:r>
          </w:p>
        </w:tc>
      </w:tr>
      <w:tr w:rsidR="008E17AD" w:rsidTr="008E17AD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8E17AD" w:rsidRPr="008E17AD" w:rsidRDefault="008E17AD" w:rsidP="008E17AD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IP</w:t>
            </w:r>
          </w:p>
        </w:tc>
      </w:tr>
      <w:tr w:rsidR="00042D6D" w:rsidTr="00042D6D">
        <w:tc>
          <w:tcPr>
            <w:tcW w:w="3798" w:type="dxa"/>
            <w:vMerge w:val="restart"/>
            <w:vAlign w:val="center"/>
          </w:tcPr>
          <w:p w:rsidR="00042D6D" w:rsidRPr="008E17AD" w:rsidRDefault="00042D6D" w:rsidP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8E17A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Establish framework for handling IP</w:t>
            </w:r>
          </w:p>
        </w:tc>
        <w:tc>
          <w:tcPr>
            <w:tcW w:w="5562" w:type="dxa"/>
          </w:tcPr>
          <w:p w:rsidR="00042D6D" w:rsidRPr="008E17AD" w:rsidRDefault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8E17A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Aspects of background IP, foreground IP (tangible / intangible), license arrangements</w:t>
            </w:r>
          </w:p>
        </w:tc>
      </w:tr>
      <w:tr w:rsidR="00042D6D" w:rsidTr="00042D6D">
        <w:tc>
          <w:tcPr>
            <w:tcW w:w="3798" w:type="dxa"/>
            <w:vMerge/>
          </w:tcPr>
          <w:p w:rsidR="00042D6D" w:rsidRPr="008E17AD" w:rsidRDefault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042D6D" w:rsidRPr="008E17AD" w:rsidRDefault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8E17A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Handling of trade secrets and confidential info</w:t>
            </w:r>
          </w:p>
        </w:tc>
      </w:tr>
      <w:tr w:rsidR="00042D6D" w:rsidTr="00042D6D">
        <w:tc>
          <w:tcPr>
            <w:tcW w:w="3798" w:type="dxa"/>
            <w:vMerge/>
          </w:tcPr>
          <w:p w:rsidR="00042D6D" w:rsidRPr="008E17AD" w:rsidRDefault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042D6D" w:rsidRPr="008E17AD" w:rsidRDefault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Data exchange</w:t>
            </w:r>
          </w:p>
        </w:tc>
      </w:tr>
      <w:tr w:rsidR="00042D6D" w:rsidTr="00042D6D">
        <w:tc>
          <w:tcPr>
            <w:tcW w:w="3798" w:type="dxa"/>
            <w:vMerge/>
          </w:tcPr>
          <w:p w:rsidR="00042D6D" w:rsidRPr="008E17AD" w:rsidRDefault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042D6D" w:rsidRPr="008E17AD" w:rsidRDefault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Copyrights</w:t>
            </w:r>
          </w:p>
        </w:tc>
      </w:tr>
      <w:tr w:rsidR="008E17AD" w:rsidTr="008E17AD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8E17AD" w:rsidRPr="008E17AD" w:rsidRDefault="008E17AD" w:rsidP="008E17AD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Confidentiality</w:t>
            </w:r>
          </w:p>
        </w:tc>
      </w:tr>
      <w:tr w:rsidR="00EB33A8" w:rsidTr="00EB33A8">
        <w:tc>
          <w:tcPr>
            <w:tcW w:w="3798" w:type="dxa"/>
            <w:vMerge w:val="restart"/>
            <w:vAlign w:val="center"/>
          </w:tcPr>
          <w:p w:rsidR="00EB33A8" w:rsidRPr="008E17AD" w:rsidRDefault="00EB33A8" w:rsidP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Manage expectations</w:t>
            </w: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Identification and treatment of confidential information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Non-disclosures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proofErr w:type="spellStart"/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Releasability</w:t>
            </w:r>
            <w:proofErr w:type="spellEnd"/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 xml:space="preserve"> of publications / presentations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 w:rsidP="00042D6D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3</w:t>
            </w:r>
            <w:r w:rsidRPr="00042D6D">
              <w:rPr>
                <w:rFonts w:ascii="Calibri" w:eastAsia="Times New Roman" w:hAnsi="Calibri" w:cs="Times New Roman"/>
                <w:color w:val="000000"/>
                <w:sz w:val="20"/>
                <w:vertAlign w:val="superscript"/>
                <w:lang w:eastAsia="en-US"/>
              </w:rPr>
              <w:t>rd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 xml:space="preserve"> </w:t>
            </w: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party materials and obligations</w:t>
            </w:r>
          </w:p>
        </w:tc>
      </w:tr>
      <w:tr w:rsidR="00042D6D" w:rsidTr="00042D6D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042D6D" w:rsidRPr="008E17AD" w:rsidRDefault="00042D6D" w:rsidP="00042D6D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Liability/Indemnification</w:t>
            </w:r>
          </w:p>
        </w:tc>
      </w:tr>
      <w:tr w:rsidR="00EB33A8" w:rsidTr="00EB33A8">
        <w:tc>
          <w:tcPr>
            <w:tcW w:w="3798" w:type="dxa"/>
            <w:vMerge w:val="restart"/>
            <w:vAlign w:val="center"/>
          </w:tcPr>
          <w:p w:rsidR="00EB33A8" w:rsidRPr="008E17AD" w:rsidRDefault="00EB33A8" w:rsidP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Ensure understanding of liability</w:t>
            </w: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Liability issues regarding performance of the researcher visit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General and lab safety procedures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Institutional policies and procedures</w:t>
            </w:r>
          </w:p>
        </w:tc>
      </w:tr>
      <w:tr w:rsidR="00042D6D" w:rsidTr="00042D6D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042D6D" w:rsidRPr="008E17AD" w:rsidRDefault="00042D6D" w:rsidP="00042D6D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Security</w:t>
            </w:r>
          </w:p>
        </w:tc>
      </w:tr>
      <w:tr w:rsidR="00EB33A8" w:rsidTr="00EB33A8">
        <w:tc>
          <w:tcPr>
            <w:tcW w:w="3798" w:type="dxa"/>
            <w:vMerge w:val="restart"/>
            <w:vAlign w:val="center"/>
          </w:tcPr>
          <w:p w:rsidR="00EB33A8" w:rsidRPr="008E17AD" w:rsidRDefault="00EB33A8" w:rsidP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042D6D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Awareness of U.S. and international security considerations and institutional operating procedures</w:t>
            </w: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 xml:space="preserve">Right to work (ITAR, EAR </w:t>
            </w:r>
            <w:proofErr w:type="spellStart"/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vs</w:t>
            </w:r>
            <w:proofErr w:type="spellEnd"/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 xml:space="preserve"> FRE, classified research, use of university-affiliated organization e.g. foundation)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 w:rsidP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Export Control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Visa / Citizenship vs. non-resident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Controlled Commerce List</w:t>
            </w:r>
          </w:p>
        </w:tc>
      </w:tr>
      <w:tr w:rsidR="00EB33A8" w:rsidTr="00EB33A8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EB33A8" w:rsidRPr="008E17AD" w:rsidRDefault="00EB33A8" w:rsidP="00EB33A8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Financial Considerations</w:t>
            </w:r>
          </w:p>
        </w:tc>
      </w:tr>
      <w:tr w:rsidR="00EB33A8" w:rsidTr="00EB33A8">
        <w:tc>
          <w:tcPr>
            <w:tcW w:w="3798" w:type="dxa"/>
            <w:vMerge w:val="restart"/>
            <w:vAlign w:val="center"/>
          </w:tcPr>
          <w:p w:rsidR="00EB33A8" w:rsidRPr="008E17AD" w:rsidRDefault="00EB33A8" w:rsidP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To clarify expectations about financial and reporting obligations that result from the researcher visit</w:t>
            </w: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Financial support for visit (travel, per diem, insurance, relocation costs)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Tax compliance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Time and Effort reporting</w:t>
            </w:r>
          </w:p>
        </w:tc>
      </w:tr>
      <w:tr w:rsidR="00EB33A8" w:rsidTr="00EB33A8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EB33A8" w:rsidRDefault="00EB33A8" w:rsidP="00EB33A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Adminis</w:t>
            </w: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trative Vehicle for the Visit</w:t>
            </w:r>
          </w:p>
          <w:p w:rsidR="00EB33A8" w:rsidRPr="00285E82" w:rsidRDefault="00285E82" w:rsidP="00EB33A8">
            <w:pPr>
              <w:jc w:val="center"/>
              <w:rPr>
                <w:i/>
                <w:sz w:val="20"/>
              </w:rPr>
            </w:pPr>
            <w:r w:rsidRPr="00285E82">
              <w:rPr>
                <w:rFonts w:ascii="Calibri" w:eastAsia="Times New Roman" w:hAnsi="Calibri" w:cs="Times New Roman"/>
                <w:b/>
                <w:bCs/>
                <w:i/>
                <w:sz w:val="20"/>
                <w:lang w:eastAsia="en-US"/>
              </w:rPr>
              <w:t>(</w:t>
            </w:r>
            <w:r w:rsidR="00EB33A8" w:rsidRPr="00285E82">
              <w:rPr>
                <w:rFonts w:ascii="Calibri" w:eastAsia="Times New Roman" w:hAnsi="Calibri" w:cs="Times New Roman"/>
                <w:b/>
                <w:bCs/>
                <w:i/>
                <w:sz w:val="20"/>
                <w:lang w:eastAsia="en-US"/>
              </w:rPr>
              <w:t>e.g., contracts, Cooperative Agreement, Visiting Scientist Agreement</w:t>
            </w:r>
            <w:r w:rsidRPr="00285E82">
              <w:rPr>
                <w:rFonts w:ascii="Calibri" w:eastAsia="Times New Roman" w:hAnsi="Calibri" w:cs="Times New Roman"/>
                <w:b/>
                <w:bCs/>
                <w:i/>
                <w:sz w:val="20"/>
                <w:lang w:eastAsia="en-US"/>
              </w:rPr>
              <w:t>)</w:t>
            </w:r>
          </w:p>
        </w:tc>
      </w:tr>
      <w:tr w:rsidR="00EB33A8" w:rsidTr="00EB33A8">
        <w:tc>
          <w:tcPr>
            <w:tcW w:w="3798" w:type="dxa"/>
            <w:vMerge w:val="restart"/>
            <w:vAlign w:val="center"/>
          </w:tcPr>
          <w:p w:rsidR="00EB33A8" w:rsidRPr="008E17AD" w:rsidRDefault="00EB33A8" w:rsidP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To determine the proper contractual vehicle and associated agreement management</w:t>
            </w: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Agreement name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Signature requirements / authority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Applicable Laws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Termination of the agreemen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Specific authorities</w:t>
            </w:r>
          </w:p>
        </w:tc>
      </w:tr>
      <w:tr w:rsidR="00EB33A8" w:rsidTr="00042D6D">
        <w:tc>
          <w:tcPr>
            <w:tcW w:w="3798" w:type="dxa"/>
            <w:vMerge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EB33A8" w:rsidRPr="008E17AD" w:rsidRDefault="00EB33A8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EB33A8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Reporting requirements</w:t>
            </w:r>
          </w:p>
        </w:tc>
      </w:tr>
      <w:tr w:rsidR="00285E82" w:rsidTr="00285E82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285E82" w:rsidRPr="008E17AD" w:rsidRDefault="00285E82" w:rsidP="00285E82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Cultural Expectations / Norms</w:t>
            </w:r>
          </w:p>
        </w:tc>
      </w:tr>
      <w:tr w:rsidR="00285E82" w:rsidTr="00285E82">
        <w:tc>
          <w:tcPr>
            <w:tcW w:w="3798" w:type="dxa"/>
            <w:vMerge w:val="restart"/>
            <w:vAlign w:val="center"/>
          </w:tcPr>
          <w:p w:rsidR="00285E82" w:rsidRPr="008E17AD" w:rsidRDefault="00285E82" w:rsidP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To be aware of and experience cultural differences between academic and industry cultural environments</w:t>
            </w: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Business etiquette (dress code, hours, meetings, scheduling, vocabulary, email etiquette)</w:t>
            </w:r>
          </w:p>
        </w:tc>
      </w:tr>
      <w:tr w:rsidR="00285E82" w:rsidTr="00042D6D">
        <w:tc>
          <w:tcPr>
            <w:tcW w:w="3798" w:type="dxa"/>
            <w:vMerge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Understanding organizational politics (cultural differences)</w:t>
            </w:r>
          </w:p>
        </w:tc>
      </w:tr>
      <w:tr w:rsidR="00285E82" w:rsidTr="00042D6D">
        <w:tc>
          <w:tcPr>
            <w:tcW w:w="3798" w:type="dxa"/>
            <w:vMerge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Sharing of knowledge and expertise at the hosting institution (mentoring students, lectures, etc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.</w:t>
            </w: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)</w:t>
            </w:r>
          </w:p>
        </w:tc>
      </w:tr>
      <w:tr w:rsidR="00285E82" w:rsidTr="00285E82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285E82" w:rsidRPr="008E17AD" w:rsidRDefault="00285E82" w:rsidP="00285E82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Multiparty Arrangements</w:t>
            </w:r>
          </w:p>
        </w:tc>
      </w:tr>
      <w:tr w:rsidR="00285E82" w:rsidTr="00285E82">
        <w:tc>
          <w:tcPr>
            <w:tcW w:w="3798" w:type="dxa"/>
            <w:vMerge w:val="restart"/>
            <w:vAlign w:val="center"/>
          </w:tcPr>
          <w:p w:rsidR="00285E82" w:rsidRPr="008E17AD" w:rsidRDefault="00285E82" w:rsidP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To understand the complexities associated with multiple parties involved in the researcher visit</w:t>
            </w: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Centers with multiple companies / universities</w:t>
            </w:r>
          </w:p>
        </w:tc>
      </w:tr>
      <w:tr w:rsidR="00285E82" w:rsidTr="00042D6D">
        <w:tc>
          <w:tcPr>
            <w:tcW w:w="3798" w:type="dxa"/>
            <w:vMerge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Multiple companies working at the same location or on the same project - precompetitive research / antitrust issues</w:t>
            </w:r>
          </w:p>
        </w:tc>
      </w:tr>
      <w:tr w:rsidR="00285E82" w:rsidTr="00285E82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285E82" w:rsidRPr="008E17AD" w:rsidRDefault="00285E82" w:rsidP="00285E82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Conflict of Interest / Commitment</w:t>
            </w:r>
          </w:p>
        </w:tc>
      </w:tr>
      <w:tr w:rsidR="00285E82" w:rsidTr="00285E82">
        <w:tc>
          <w:tcPr>
            <w:tcW w:w="3798" w:type="dxa"/>
            <w:vMerge w:val="restart"/>
            <w:vAlign w:val="center"/>
          </w:tcPr>
          <w:p w:rsidR="00285E82" w:rsidRPr="008E17AD" w:rsidRDefault="00285E82" w:rsidP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Recognition that the visiting researcher is still an employee of the sending institution</w:t>
            </w: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Conflict of interest (specify timeframe, scope, mitigation plan if necessary)</w:t>
            </w:r>
          </w:p>
        </w:tc>
      </w:tr>
      <w:tr w:rsidR="00285E82" w:rsidTr="00042D6D">
        <w:tc>
          <w:tcPr>
            <w:tcW w:w="3798" w:type="dxa"/>
            <w:vMerge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Conflict of commitment</w:t>
            </w:r>
          </w:p>
        </w:tc>
      </w:tr>
      <w:tr w:rsidR="00285E82" w:rsidTr="00285E82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285E82" w:rsidRPr="008E17AD" w:rsidRDefault="00285E82" w:rsidP="00285E82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Logistics / Resources</w:t>
            </w:r>
          </w:p>
        </w:tc>
      </w:tr>
      <w:tr w:rsidR="00285E82" w:rsidTr="00285E82">
        <w:tc>
          <w:tcPr>
            <w:tcW w:w="3798" w:type="dxa"/>
            <w:vMerge w:val="restart"/>
            <w:vAlign w:val="center"/>
          </w:tcPr>
          <w:p w:rsidR="00285E82" w:rsidRPr="008E17AD" w:rsidRDefault="00285E82" w:rsidP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 xml:space="preserve">To identify </w:t>
            </w: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the financial and non-financial resources required for a successful visit</w:t>
            </w: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Physical space and management of it</w:t>
            </w:r>
          </w:p>
        </w:tc>
      </w:tr>
      <w:tr w:rsidR="00285E82" w:rsidTr="00042D6D">
        <w:tc>
          <w:tcPr>
            <w:tcW w:w="3798" w:type="dxa"/>
            <w:vMerge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Defining access to host institution infrastructure and resources (email accounts, building access cards, library, equipment, computers, etc</w:t>
            </w: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.</w:t>
            </w: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)</w:t>
            </w:r>
          </w:p>
        </w:tc>
      </w:tr>
      <w:tr w:rsidR="00285E82" w:rsidTr="00285E82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285E82" w:rsidRPr="008E17AD" w:rsidRDefault="00285E82" w:rsidP="00285E82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Relationship With Ongoing Projects</w:t>
            </w:r>
          </w:p>
        </w:tc>
      </w:tr>
      <w:tr w:rsidR="00285E82" w:rsidTr="00285E82">
        <w:tc>
          <w:tcPr>
            <w:tcW w:w="3798" w:type="dxa"/>
            <w:vMerge w:val="restart"/>
            <w:vAlign w:val="center"/>
          </w:tcPr>
          <w:p w:rsidR="00285E82" w:rsidRPr="00285E82" w:rsidRDefault="00285E82" w:rsidP="00285E8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To clarify the roles, responsibilities, and authority of the visiting researcher with regard to ongoing projects at his/her host institution</w:t>
            </w: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Management of projects</w:t>
            </w:r>
          </w:p>
        </w:tc>
      </w:tr>
      <w:tr w:rsidR="00285E82" w:rsidTr="00042D6D">
        <w:tc>
          <w:tcPr>
            <w:tcW w:w="3798" w:type="dxa"/>
            <w:vMerge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Compartmentalization</w:t>
            </w:r>
          </w:p>
        </w:tc>
      </w:tr>
      <w:tr w:rsidR="00285E82" w:rsidTr="00285E82">
        <w:trPr>
          <w:trHeight w:val="432"/>
        </w:trPr>
        <w:tc>
          <w:tcPr>
            <w:tcW w:w="9360" w:type="dxa"/>
            <w:gridSpan w:val="2"/>
            <w:shd w:val="clear" w:color="auto" w:fill="CCFFCC"/>
            <w:vAlign w:val="center"/>
          </w:tcPr>
          <w:p w:rsidR="00285E82" w:rsidRPr="008E17AD" w:rsidRDefault="00285E82" w:rsidP="00285E82">
            <w:pPr>
              <w:jc w:val="center"/>
              <w:rPr>
                <w:i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szCs w:val="24"/>
                <w:lang w:eastAsia="en-US"/>
              </w:rPr>
              <w:t>Communications / Public Affairs Guidance</w:t>
            </w:r>
          </w:p>
        </w:tc>
      </w:tr>
      <w:tr w:rsidR="00285E82" w:rsidTr="00042D6D">
        <w:tc>
          <w:tcPr>
            <w:tcW w:w="3798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To have a clear and concise messaging about the purpose and ben</w:t>
            </w:r>
            <w:bookmarkStart w:id="0" w:name="_GoBack"/>
            <w:bookmarkEnd w:id="0"/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efits of the researcher visit</w:t>
            </w:r>
          </w:p>
        </w:tc>
        <w:tc>
          <w:tcPr>
            <w:tcW w:w="5562" w:type="dxa"/>
          </w:tcPr>
          <w:p w:rsidR="00285E82" w:rsidRPr="008E17AD" w:rsidRDefault="00285E82">
            <w:pPr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</w:pPr>
            <w:r w:rsidRPr="00285E82">
              <w:rPr>
                <w:rFonts w:ascii="Calibri" w:eastAsia="Times New Roman" w:hAnsi="Calibri" w:cs="Times New Roman"/>
                <w:color w:val="000000"/>
                <w:sz w:val="20"/>
                <w:lang w:eastAsia="en-US"/>
              </w:rPr>
              <w:t>How activities are publicized /not publicized</w:t>
            </w:r>
          </w:p>
        </w:tc>
      </w:tr>
    </w:tbl>
    <w:p w:rsidR="00C52330" w:rsidRDefault="00C52330"/>
    <w:sectPr w:rsidR="00C52330" w:rsidSect="00607388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68" w:rsidRDefault="00E35768" w:rsidP="00E35768">
      <w:r>
        <w:separator/>
      </w:r>
    </w:p>
  </w:endnote>
  <w:endnote w:type="continuationSeparator" w:id="0">
    <w:p w:rsidR="00E35768" w:rsidRDefault="00E35768" w:rsidP="00E3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52"/>
      <w:gridCol w:w="2952"/>
      <w:gridCol w:w="2952"/>
    </w:tblGrid>
    <w:tr w:rsidR="00E35768" w:rsidRPr="00E35768" w:rsidTr="00E35768">
      <w:tc>
        <w:tcPr>
          <w:tcW w:w="2952" w:type="dxa"/>
        </w:tcPr>
        <w:p w:rsidR="00E35768" w:rsidRPr="00E35768" w:rsidRDefault="00E35768">
          <w:pPr>
            <w:pStyle w:val="Footer"/>
            <w:rPr>
              <w:rFonts w:ascii="Calibri" w:hAnsi="Calibri"/>
              <w:sz w:val="20"/>
            </w:rPr>
          </w:pPr>
        </w:p>
      </w:tc>
      <w:tc>
        <w:tcPr>
          <w:tcW w:w="2952" w:type="dxa"/>
        </w:tcPr>
        <w:p w:rsidR="00E35768" w:rsidRPr="00E35768" w:rsidRDefault="00E35768" w:rsidP="00E35768">
          <w:pPr>
            <w:pStyle w:val="Footer"/>
            <w:jc w:val="center"/>
            <w:rPr>
              <w:rFonts w:ascii="Calibri" w:hAnsi="Calibri"/>
              <w:sz w:val="20"/>
            </w:rPr>
          </w:pPr>
          <w:r w:rsidRPr="00E35768">
            <w:rPr>
              <w:rFonts w:ascii="Calibri" w:hAnsi="Calibri"/>
              <w:sz w:val="20"/>
            </w:rPr>
            <w:t xml:space="preserve">- </w:t>
          </w:r>
          <w:r w:rsidRPr="00E35768">
            <w:rPr>
              <w:rFonts w:ascii="Calibri" w:hAnsi="Calibri"/>
              <w:sz w:val="20"/>
            </w:rPr>
            <w:fldChar w:fldCharType="begin"/>
          </w:r>
          <w:r w:rsidRPr="00E35768">
            <w:rPr>
              <w:rFonts w:ascii="Calibri" w:hAnsi="Calibri"/>
              <w:sz w:val="20"/>
            </w:rPr>
            <w:instrText xml:space="preserve"> PAGE </w:instrText>
          </w:r>
          <w:r w:rsidRPr="00E35768">
            <w:rPr>
              <w:rFonts w:ascii="Calibri" w:hAnsi="Calibri"/>
              <w:sz w:val="20"/>
            </w:rPr>
            <w:fldChar w:fldCharType="separate"/>
          </w:r>
          <w:r w:rsidR="003018ED">
            <w:rPr>
              <w:rFonts w:ascii="Calibri" w:hAnsi="Calibri"/>
              <w:noProof/>
              <w:sz w:val="20"/>
            </w:rPr>
            <w:t>1</w:t>
          </w:r>
          <w:r w:rsidRPr="00E35768">
            <w:rPr>
              <w:rFonts w:ascii="Calibri" w:hAnsi="Calibri"/>
              <w:sz w:val="20"/>
            </w:rPr>
            <w:fldChar w:fldCharType="end"/>
          </w:r>
          <w:r w:rsidRPr="00E35768">
            <w:rPr>
              <w:rFonts w:ascii="Calibri" w:hAnsi="Calibri"/>
              <w:sz w:val="20"/>
            </w:rPr>
            <w:t xml:space="preserve"> -</w:t>
          </w:r>
        </w:p>
      </w:tc>
      <w:tc>
        <w:tcPr>
          <w:tcW w:w="2952" w:type="dxa"/>
        </w:tcPr>
        <w:p w:rsidR="00E35768" w:rsidRPr="00E35768" w:rsidRDefault="00E35768" w:rsidP="00E35768">
          <w:pPr>
            <w:pStyle w:val="Footer"/>
            <w:jc w:val="right"/>
            <w:rPr>
              <w:rFonts w:ascii="Calibri" w:hAnsi="Calibri"/>
              <w:sz w:val="20"/>
            </w:rPr>
          </w:pPr>
          <w:r>
            <w:rPr>
              <w:rFonts w:ascii="Calibri" w:hAnsi="Calibri"/>
              <w:sz w:val="20"/>
            </w:rPr>
            <w:t>11-Jul-2013</w:t>
          </w:r>
        </w:p>
      </w:tc>
    </w:tr>
  </w:tbl>
  <w:p w:rsidR="00E35768" w:rsidRDefault="00E35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68" w:rsidRDefault="00E35768" w:rsidP="00E35768">
      <w:r>
        <w:separator/>
      </w:r>
    </w:p>
  </w:footnote>
  <w:footnote w:type="continuationSeparator" w:id="0">
    <w:p w:rsidR="00E35768" w:rsidRDefault="00E35768" w:rsidP="00E35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30"/>
    <w:rsid w:val="00042D6D"/>
    <w:rsid w:val="00253A67"/>
    <w:rsid w:val="00285E82"/>
    <w:rsid w:val="003018ED"/>
    <w:rsid w:val="004D7977"/>
    <w:rsid w:val="00607388"/>
    <w:rsid w:val="008E17AD"/>
    <w:rsid w:val="00C52330"/>
    <w:rsid w:val="00E35768"/>
    <w:rsid w:val="00EB33A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38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57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76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E357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76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38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57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576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E357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576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3105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National Academies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Starbuck</dc:creator>
  <cp:lastModifiedBy>Katie Kalinowski</cp:lastModifiedBy>
  <cp:revision>2</cp:revision>
  <dcterms:created xsi:type="dcterms:W3CDTF">2013-07-11T20:28:00Z</dcterms:created>
  <dcterms:modified xsi:type="dcterms:W3CDTF">2013-07-11T20:28:00Z</dcterms:modified>
</cp:coreProperties>
</file>